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2"/>
        <w:jc w:val="right"/>
        <w:rPr>
          <w:rFonts w:ascii="Times New Roman" w:cs="Times New Roman" w:hAnsi="Times New Roman"/>
          <w:color w:val="000000"/>
          <w:sz w:val="24"/>
          <w:szCs w:val="24"/>
        </w:rPr>
      </w:pPr>
      <w:r>
        <w:rPr>
          <w:rFonts w:ascii="Times New Roman" w:cs="Times New Roman" w:hAnsi="Times New Roman"/>
          <w:color w:val="000000"/>
          <w:sz w:val="24"/>
          <w:szCs w:val="24"/>
        </w:rPr>
        <w:t xml:space="preserve">23 March </w:t>
      </w:r>
      <w:r>
        <w:rPr>
          <w:rFonts w:ascii="Times New Roman" w:cs="Times New Roman" w:hAnsi="Times New Roman"/>
          <w:color w:val="000000"/>
          <w:sz w:val="24"/>
          <w:szCs w:val="24"/>
        </w:rPr>
        <w:t xml:space="preserve"> 2026</w:t>
      </w:r>
    </w:p>
    <w:p>
      <w:pPr>
        <w:pStyle w:val="style2"/>
        <w:rPr>
          <w:rFonts w:ascii="Times New Roman" w:cs="Times New Roman" w:hAnsi="Times New Roman"/>
          <w:color w:val="000000"/>
          <w:sz w:val="24"/>
          <w:szCs w:val="24"/>
        </w:rPr>
      </w:pP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TERMS AND CONDITIONS: ZARIA EXCELLENCE AWARDS</w:t>
      </w:r>
    </w:p>
    <w:p>
      <w:pPr>
        <w:pStyle w:val="style0"/>
        <w:rPr/>
      </w:pP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1. Introduction</w:t>
      </w:r>
    </w:p>
    <w:p>
      <w:pPr>
        <w:pStyle w:val="style94"/>
        <w:rPr>
          <w:color w:val="000000"/>
        </w:rPr>
      </w:pPr>
      <w:r>
        <w:rPr>
          <w:color w:val="000000"/>
        </w:rPr>
        <w:t>By submitting a nomination or participating in the</w:t>
      </w:r>
      <w:r>
        <w:rPr>
          <w:rStyle w:val="style4102"/>
          <w:color w:val="000000"/>
        </w:rPr>
        <w:t> </w:t>
      </w:r>
      <w:r>
        <w:rPr>
          <w:b/>
          <w:bCs/>
          <w:color w:val="000000"/>
        </w:rPr>
        <w:t>Zaria Excellence Awards</w:t>
      </w:r>
      <w:r>
        <w:rPr>
          <w:rStyle w:val="style4102"/>
          <w:color w:val="000000"/>
        </w:rPr>
        <w:t> </w:t>
      </w:r>
      <w:r>
        <w:rPr>
          <w:color w:val="000000"/>
        </w:rPr>
        <w:t>(the "Awards"), the nominee, nominator, and any associated parties agree to be bound by these Terms and Conditions.</w:t>
      </w: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2. Eligibility &amp; Nationality</w:t>
      </w:r>
    </w:p>
    <w:p>
      <w:pPr>
        <w:pStyle w:val="style94"/>
        <w:numPr>
          <w:ilvl w:val="0"/>
          <w:numId w:val="1"/>
        </w:numPr>
        <w:rPr>
          <w:color w:val="000000"/>
        </w:rPr>
      </w:pPr>
      <w:r>
        <w:rPr>
          <w:b/>
          <w:bCs/>
          <w:color w:val="000000"/>
        </w:rPr>
        <w:t>Citizenship:</w:t>
      </w:r>
      <w:r>
        <w:rPr>
          <w:rStyle w:val="style4102"/>
          <w:color w:val="000000"/>
        </w:rPr>
        <w:t> </w:t>
      </w:r>
      <w:r>
        <w:rPr>
          <w:color w:val="000000"/>
        </w:rPr>
        <w:t>Participation in the Awards is strictly limited to</w:t>
      </w:r>
      <w:r>
        <w:rPr>
          <w:rStyle w:val="style4102"/>
          <w:color w:val="000000"/>
        </w:rPr>
        <w:t> </w:t>
      </w:r>
      <w:r>
        <w:rPr>
          <w:b/>
          <w:bCs/>
          <w:color w:val="000000"/>
        </w:rPr>
        <w:t>South African citizens</w:t>
      </w:r>
      <w:r>
        <w:rPr>
          <w:color w:val="000000"/>
        </w:rPr>
        <w:t>.</w:t>
      </w:r>
    </w:p>
    <w:p>
      <w:pPr>
        <w:pStyle w:val="style94"/>
        <w:numPr>
          <w:ilvl w:val="0"/>
          <w:numId w:val="1"/>
        </w:numPr>
        <w:rPr>
          <w:color w:val="000000"/>
        </w:rPr>
      </w:pPr>
      <w:r>
        <w:rPr>
          <w:b/>
          <w:bCs/>
          <w:color w:val="000000"/>
        </w:rPr>
        <w:t>Proof of Identity:</w:t>
      </w:r>
      <w:r>
        <w:rPr>
          <w:rStyle w:val="style4102"/>
          <w:color w:val="000000"/>
        </w:rPr>
        <w:t> </w:t>
      </w:r>
      <w:r>
        <w:rPr>
          <w:color w:val="000000"/>
        </w:rPr>
        <w:t>All nominees must be prepared to provide a valid South African Identity Document (ID) or passport upon request to verify eligibility.</w:t>
      </w:r>
    </w:p>
    <w:p>
      <w:pPr>
        <w:pStyle w:val="style94"/>
        <w:numPr>
          <w:ilvl w:val="0"/>
          <w:numId w:val="1"/>
        </w:numPr>
        <w:rPr>
          <w:color w:val="000000"/>
        </w:rPr>
      </w:pPr>
      <w:r>
        <w:rPr>
          <w:b/>
          <w:bCs/>
          <w:color w:val="000000"/>
        </w:rPr>
        <w:t>Professional Standing:</w:t>
      </w:r>
      <w:r>
        <w:rPr>
          <w:rStyle w:val="style4102"/>
          <w:color w:val="000000"/>
        </w:rPr>
        <w:t> </w:t>
      </w:r>
      <w:r>
        <w:rPr>
          <w:color w:val="000000"/>
        </w:rPr>
        <w:t>Nominees must demonstrate excellence within their respective sectors, adhering to the highest standards of professional integrity and ethics.</w:t>
      </w:r>
    </w:p>
    <w:p>
      <w:pPr>
        <w:pStyle w:val="style94"/>
        <w:numPr>
          <w:ilvl w:val="0"/>
          <w:numId w:val="1"/>
        </w:numPr>
        <w:rPr>
          <w:color w:val="000000"/>
        </w:rPr>
      </w:pPr>
      <w:r>
        <w:rPr>
          <w:b/>
          <w:bCs/>
          <w:color w:val="000000"/>
        </w:rPr>
        <w:t>Integrity:</w:t>
      </w:r>
      <w:r>
        <w:rPr>
          <w:rStyle w:val="style4102"/>
          <w:color w:val="000000"/>
        </w:rPr>
        <w:t> </w:t>
      </w:r>
      <w:r>
        <w:rPr>
          <w:color w:val="000000"/>
        </w:rPr>
        <w:t>Nominees must not have any criminal record or be involved in activities that could bring the Awards or Zaria Business Enterprise into disrepute.</w:t>
      </w: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3. Nomination Process &amp; Deadline</w:t>
      </w:r>
    </w:p>
    <w:p>
      <w:pPr>
        <w:pStyle w:val="style94"/>
        <w:numPr>
          <w:ilvl w:val="0"/>
          <w:numId w:val="12"/>
        </w:numPr>
        <w:rPr>
          <w:color w:val="000000"/>
        </w:rPr>
      </w:pPr>
      <w:r>
        <w:rPr>
          <w:b/>
          <w:bCs/>
          <w:color w:val="000000"/>
        </w:rPr>
        <w:t>Submission Window:</w:t>
      </w:r>
      <w:r>
        <w:rPr>
          <w:rStyle w:val="style4102"/>
          <w:color w:val="000000"/>
        </w:rPr>
        <w:t> </w:t>
      </w:r>
      <w:r>
        <w:rPr>
          <w:color w:val="000000"/>
        </w:rPr>
        <w:t>All nominations must be submitted through the official online portal or designated channels.</w:t>
      </w:r>
    </w:p>
    <w:p>
      <w:pPr>
        <w:pStyle w:val="style94"/>
        <w:numPr>
          <w:ilvl w:val="0"/>
          <w:numId w:val="12"/>
        </w:numPr>
        <w:rPr>
          <w:color w:val="000000"/>
        </w:rPr>
      </w:pPr>
      <w:r>
        <w:rPr>
          <w:b/>
          <w:bCs/>
          <w:color w:val="000000"/>
        </w:rPr>
        <w:t>Deadline:</w:t>
      </w:r>
      <w:r>
        <w:rPr>
          <w:rStyle w:val="style4102"/>
          <w:color w:val="000000"/>
        </w:rPr>
        <w:t> </w:t>
      </w:r>
      <w:r>
        <w:rPr>
          <w:color w:val="000000"/>
        </w:rPr>
        <w:t>The closing date for all nominations is</w:t>
      </w:r>
      <w:r>
        <w:rPr>
          <w:rStyle w:val="style4102"/>
          <w:color w:val="000000"/>
        </w:rPr>
        <w:t> </w:t>
      </w:r>
      <w:r>
        <w:rPr>
          <w:b/>
          <w:bCs/>
          <w:color w:val="000000"/>
        </w:rPr>
        <w:t>15 April 2026</w:t>
      </w:r>
      <w:r>
        <w:rPr>
          <w:color w:val="000000"/>
        </w:rPr>
        <w:t>.</w:t>
      </w:r>
    </w:p>
    <w:p>
      <w:pPr>
        <w:pStyle w:val="style94"/>
        <w:numPr>
          <w:ilvl w:val="0"/>
          <w:numId w:val="12"/>
        </w:numPr>
        <w:rPr>
          <w:color w:val="000000"/>
        </w:rPr>
      </w:pPr>
      <w:r>
        <w:rPr>
          <w:b/>
          <w:bCs/>
          <w:color w:val="000000"/>
        </w:rPr>
        <w:t>Late Entries:</w:t>
      </w:r>
      <w:r>
        <w:rPr>
          <w:rStyle w:val="style4102"/>
          <w:color w:val="000000"/>
        </w:rPr>
        <w:t> </w:t>
      </w:r>
      <w:r>
        <w:rPr>
          <w:color w:val="000000"/>
        </w:rPr>
        <w:t>Any submissions received after</w:t>
      </w:r>
      <w:r>
        <w:rPr>
          <w:rStyle w:val="style4102"/>
          <w:color w:val="000000"/>
        </w:rPr>
        <w:t> </w:t>
      </w:r>
      <w:r>
        <w:rPr>
          <w:b/>
          <w:bCs/>
          <w:color w:val="000000"/>
        </w:rPr>
        <w:t>23:59 (SAST) on 15 April 2026</w:t>
      </w:r>
      <w:r>
        <w:rPr>
          <w:rStyle w:val="style4102"/>
          <w:color w:val="000000"/>
        </w:rPr>
        <w:t> </w:t>
      </w:r>
      <w:r>
        <w:rPr>
          <w:color w:val="000000"/>
        </w:rPr>
        <w:t>will be strictly disqualified.</w:t>
      </w:r>
    </w:p>
    <w:p>
      <w:pPr>
        <w:pStyle w:val="style94"/>
        <w:numPr>
          <w:ilvl w:val="0"/>
          <w:numId w:val="12"/>
        </w:numPr>
        <w:rPr>
          <w:color w:val="000000"/>
        </w:rPr>
      </w:pPr>
      <w:r>
        <w:rPr>
          <w:b/>
          <w:bCs/>
          <w:color w:val="000000"/>
        </w:rPr>
        <w:t>Accuracy:</w:t>
      </w:r>
      <w:r>
        <w:rPr>
          <w:rStyle w:val="style4102"/>
          <w:color w:val="000000"/>
        </w:rPr>
        <w:t> </w:t>
      </w:r>
      <w:r>
        <w:rPr>
          <w:color w:val="000000"/>
        </w:rPr>
        <w:t>Information provided must be true and complete. Misrepresentation of citizenship or professional achievements will lead to immediate disqualification.</w:t>
      </w: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4. Mandatory Attendance</w:t>
      </w:r>
    </w:p>
    <w:p>
      <w:pPr>
        <w:pStyle w:val="style94"/>
        <w:numPr>
          <w:ilvl w:val="0"/>
          <w:numId w:val="13"/>
        </w:numPr>
        <w:rPr>
          <w:color w:val="000000"/>
        </w:rPr>
      </w:pPr>
      <w:r>
        <w:rPr>
          <w:b/>
          <w:bCs/>
          <w:color w:val="000000"/>
        </w:rPr>
        <w:t>Full Conference Participation:</w:t>
      </w:r>
      <w:r>
        <w:rPr>
          <w:rStyle w:val="style4102"/>
          <w:color w:val="000000"/>
        </w:rPr>
        <w:t> </w:t>
      </w:r>
      <w:r>
        <w:rPr>
          <w:color w:val="000000"/>
        </w:rPr>
        <w:t>Being selected as a finalist requires</w:t>
      </w:r>
      <w:r>
        <w:rPr>
          <w:rStyle w:val="style4102"/>
          <w:color w:val="000000"/>
        </w:rPr>
        <w:t> </w:t>
      </w:r>
      <w:r>
        <w:rPr>
          <w:b/>
          <w:bCs/>
          <w:color w:val="000000"/>
        </w:rPr>
        <w:t>mandatory attendance for the entire duration of the associated conference</w:t>
      </w:r>
      <w:r>
        <w:rPr>
          <w:color w:val="000000"/>
        </w:rPr>
        <w:t>.</w:t>
      </w:r>
    </w:p>
    <w:p>
      <w:pPr>
        <w:pStyle w:val="style94"/>
        <w:numPr>
          <w:ilvl w:val="0"/>
          <w:numId w:val="13"/>
        </w:numPr>
        <w:rPr>
          <w:color w:val="000000"/>
        </w:rPr>
      </w:pPr>
      <w:r>
        <w:rPr>
          <w:b/>
          <w:bCs/>
          <w:color w:val="000000"/>
        </w:rPr>
        <w:t>Awards Ceremony:</w:t>
      </w:r>
      <w:r>
        <w:rPr>
          <w:rStyle w:val="style4102"/>
          <w:color w:val="000000"/>
        </w:rPr>
        <w:t> </w:t>
      </w:r>
      <w:r>
        <w:rPr>
          <w:color w:val="000000"/>
        </w:rPr>
        <w:t>Finalists must attend the official awards ceremony in person.</w:t>
      </w:r>
    </w:p>
    <w:p>
      <w:pPr>
        <w:pStyle w:val="style94"/>
        <w:numPr>
          <w:ilvl w:val="0"/>
          <w:numId w:val="13"/>
        </w:numPr>
        <w:rPr>
          <w:color w:val="000000"/>
        </w:rPr>
      </w:pPr>
      <w:r>
        <w:rPr>
          <w:b/>
          <w:bCs/>
          <w:color w:val="000000"/>
        </w:rPr>
        <w:t>Non-Compliance:</w:t>
      </w:r>
      <w:r>
        <w:rPr>
          <w:rStyle w:val="style4102"/>
          <w:color w:val="000000"/>
        </w:rPr>
        <w:t> </w:t>
      </w:r>
      <w:r>
        <w:rPr>
          <w:color w:val="000000"/>
        </w:rPr>
        <w:t>Failure to attend the full conference proceedings may result in the forfeiture of the award and disqualification from the final selection process, at the discretion of the organizers.</w:t>
      </w:r>
    </w:p>
    <w:p>
      <w:pPr>
        <w:pStyle w:val="style2"/>
        <w:rPr>
          <w:rFonts w:ascii="Times New Roman" w:cs="Times New Roman" w:hAnsi="Times New Roman"/>
          <w:b/>
          <w:bCs/>
          <w:color w:val="000000"/>
          <w:sz w:val="24"/>
          <w:szCs w:val="24"/>
        </w:rPr>
      </w:pP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5. Judging and Selection</w:t>
      </w:r>
    </w:p>
    <w:p>
      <w:pPr>
        <w:pStyle w:val="style94"/>
        <w:numPr>
          <w:ilvl w:val="0"/>
          <w:numId w:val="14"/>
        </w:numPr>
        <w:rPr>
          <w:color w:val="000000"/>
        </w:rPr>
      </w:pPr>
      <w:r>
        <w:rPr>
          <w:b/>
          <w:bCs/>
          <w:color w:val="000000"/>
        </w:rPr>
        <w:t>Finality:</w:t>
      </w:r>
      <w:r>
        <w:rPr>
          <w:rStyle w:val="style4102"/>
          <w:color w:val="000000"/>
        </w:rPr>
        <w:t> </w:t>
      </w:r>
      <w:r>
        <w:rPr>
          <w:color w:val="000000"/>
        </w:rPr>
        <w:t>The decisions made by the independent judging panel are</w:t>
      </w:r>
      <w:r>
        <w:rPr>
          <w:rStyle w:val="style4102"/>
          <w:color w:val="000000"/>
        </w:rPr>
        <w:t> </w:t>
      </w:r>
      <w:r>
        <w:rPr>
          <w:b/>
          <w:bCs/>
          <w:color w:val="000000"/>
        </w:rPr>
        <w:t>final and binding</w:t>
      </w:r>
      <w:r>
        <w:rPr>
          <w:color w:val="000000"/>
        </w:rPr>
        <w:t>. No correspondence or appeals regarding the shortlisting or final selection of winners will be entertained.</w:t>
      </w:r>
    </w:p>
    <w:p>
      <w:pPr>
        <w:pStyle w:val="style94"/>
        <w:numPr>
          <w:ilvl w:val="0"/>
          <w:numId w:val="14"/>
        </w:numPr>
        <w:rPr>
          <w:color w:val="000000"/>
        </w:rPr>
      </w:pPr>
      <w:r>
        <w:rPr>
          <w:b/>
          <w:bCs/>
          <w:color w:val="000000"/>
        </w:rPr>
        <w:t>Confidentiality:</w:t>
      </w:r>
      <w:r>
        <w:rPr>
          <w:rStyle w:val="style4102"/>
          <w:color w:val="000000"/>
        </w:rPr>
        <w:t> </w:t>
      </w:r>
      <w:r>
        <w:rPr>
          <w:color w:val="000000"/>
        </w:rPr>
        <w:t>The judging process remains internal. Individual scores and judge deliberations will not be disclosed to nominees or the public.</w:t>
      </w:r>
    </w:p>
    <w:p>
      <w:pPr>
        <w:pStyle w:val="style94"/>
        <w:numPr>
          <w:ilvl w:val="0"/>
          <w:numId w:val="14"/>
        </w:numPr>
        <w:rPr>
          <w:color w:val="000000"/>
        </w:rPr>
      </w:pPr>
      <w:r>
        <w:rPr>
          <w:b/>
          <w:bCs/>
          <w:color w:val="000000"/>
        </w:rPr>
        <w:t>Right to Rescind:</w:t>
      </w:r>
      <w:r>
        <w:rPr>
          <w:rStyle w:val="style4102"/>
          <w:color w:val="000000"/>
        </w:rPr>
        <w:t> </w:t>
      </w:r>
      <w:r>
        <w:rPr>
          <w:color w:val="000000"/>
        </w:rPr>
        <w:t>The organizers reserve the right to withdraw an award if information emerges after the ceremony that contradicts the eligibility (including citizenship status or attendance requirements).</w:t>
      </w: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6. Intellectual Property &amp; Media</w:t>
      </w:r>
    </w:p>
    <w:p>
      <w:pPr>
        <w:pStyle w:val="style94"/>
        <w:numPr>
          <w:ilvl w:val="0"/>
          <w:numId w:val="15"/>
        </w:numPr>
        <w:rPr>
          <w:color w:val="000000"/>
        </w:rPr>
      </w:pPr>
      <w:r>
        <w:rPr>
          <w:b/>
          <w:bCs/>
          <w:color w:val="000000"/>
        </w:rPr>
        <w:t>Publicity Rights:</w:t>
      </w:r>
      <w:r>
        <w:rPr>
          <w:rStyle w:val="style4102"/>
          <w:color w:val="000000"/>
        </w:rPr>
        <w:t> </w:t>
      </w:r>
      <w:r>
        <w:rPr>
          <w:color w:val="000000"/>
        </w:rPr>
        <w:t>By participating, nominees and winners grant the organizers a non-exclusive, royalty-free license to use their names, photographs, and professional biographies for promotional, marketing, and archival purposes across all media platforms.</w:t>
      </w: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7. Data Privacy &amp; Compliance</w:t>
      </w:r>
    </w:p>
    <w:p>
      <w:pPr>
        <w:pStyle w:val="style94"/>
        <w:numPr>
          <w:ilvl w:val="0"/>
          <w:numId w:val="16"/>
        </w:numPr>
        <w:rPr>
          <w:color w:val="000000"/>
        </w:rPr>
      </w:pPr>
      <w:r>
        <w:rPr>
          <w:b/>
          <w:bCs/>
          <w:color w:val="000000"/>
        </w:rPr>
        <w:t>POPIA Compliance:</w:t>
      </w:r>
      <w:r>
        <w:rPr>
          <w:rStyle w:val="style4102"/>
          <w:color w:val="000000"/>
        </w:rPr>
        <w:t> </w:t>
      </w:r>
      <w:r>
        <w:rPr>
          <w:color w:val="000000"/>
        </w:rPr>
        <w:t>All personal information collected, including identity documents for citizenship verification, will be handled in strict accordance with the</w:t>
      </w:r>
      <w:r>
        <w:rPr>
          <w:rStyle w:val="style4102"/>
          <w:color w:val="000000"/>
        </w:rPr>
        <w:t> </w:t>
      </w:r>
      <w:r>
        <w:rPr>
          <w:b/>
          <w:bCs/>
          <w:color w:val="000000"/>
        </w:rPr>
        <w:t>Protection of Personal Information Act (POPIA)</w:t>
      </w:r>
      <w:r>
        <w:rPr>
          <w:color w:val="000000"/>
        </w:rPr>
        <w:t>.</w:t>
      </w:r>
    </w:p>
    <w:p>
      <w:pPr>
        <w:pStyle w:val="style94"/>
        <w:numPr>
          <w:ilvl w:val="0"/>
          <w:numId w:val="16"/>
        </w:numPr>
        <w:rPr>
          <w:color w:val="000000"/>
        </w:rPr>
      </w:pPr>
      <w:r>
        <w:rPr>
          <w:b/>
          <w:bCs/>
          <w:color w:val="000000"/>
        </w:rPr>
        <w:t>Usage:</w:t>
      </w:r>
      <w:r>
        <w:rPr>
          <w:rStyle w:val="style4102"/>
          <w:color w:val="000000"/>
        </w:rPr>
        <w:t> </w:t>
      </w:r>
      <w:r>
        <w:rPr>
          <w:color w:val="000000"/>
        </w:rPr>
        <w:t>Data will be used solely for the administration of the Zaria Excellence Awards and the associated conference.</w:t>
      </w:r>
    </w:p>
    <w:p>
      <w:pPr>
        <w:pStyle w:val="style2"/>
        <w:rPr>
          <w:rFonts w:ascii="Times New Roman" w:cs="Times New Roman" w:hAnsi="Times New Roman"/>
          <w:b/>
          <w:bCs/>
          <w:color w:val="000000"/>
          <w:sz w:val="24"/>
          <w:szCs w:val="24"/>
        </w:rPr>
      </w:pPr>
      <w:r>
        <w:rPr>
          <w:rFonts w:ascii="Times New Roman" w:cs="Times New Roman" w:hAnsi="Times New Roman"/>
          <w:b/>
          <w:bCs/>
          <w:color w:val="000000"/>
          <w:sz w:val="24"/>
          <w:szCs w:val="24"/>
        </w:rPr>
        <w:t>8. Limitation of Liability</w:t>
      </w:r>
    </w:p>
    <w:p>
      <w:pPr>
        <w:pStyle w:val="style94"/>
        <w:rPr>
          <w:color w:val="000000"/>
        </w:rPr>
      </w:pPr>
      <w:r>
        <w:rPr>
          <w:color w:val="000000"/>
        </w:rPr>
        <w:t>The organizers shall not be liable for any costs (including travel and accommodation), losses, or damages incurred by participants in relation to their nomination or attendance at the conference and awards event.</w:t>
      </w:r>
    </w:p>
    <w:p>
      <w:pPr>
        <w:pStyle w:val="style4101"/>
        <w:jc w:val="right"/>
        <w:rPr>
          <w:lang w:val="en-US"/>
        </w:rPr>
      </w:pPr>
    </w:p>
    <w:sectPr>
      <w:headerReference w:type="default" r:id="rId2"/>
      <w:footerReference w:type="default" r:id="rId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002030204"/>
    <w:charset w:val="00"/>
    <w:family w:val="swiss"/>
    <w:pitch w:val="variable"/>
    <w:sig w:usb0="E0002AFF" w:usb1="C000247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noProof/>
        <w:lang w:eastAsia="en-ZA"/>
      </w:rPr>
      <mc:AlternateContent>
        <mc:Choice Requires="wps">
          <w:drawing>
            <wp:anchor distT="0" distB="0" distL="0" distR="0" simplePos="false" relativeHeight="5" behindDoc="false" locked="false" layoutInCell="true" allowOverlap="true">
              <wp:simplePos x="0" y="0"/>
              <wp:positionH relativeFrom="column">
                <wp:posOffset>-647700</wp:posOffset>
              </wp:positionH>
              <wp:positionV relativeFrom="paragraph">
                <wp:posOffset>-213359</wp:posOffset>
              </wp:positionV>
              <wp:extent cx="7048500" cy="0"/>
              <wp:effectExtent l="0" t="0" r="19050" b="19050"/>
              <wp:wrapNone/>
              <wp:docPr id="4100"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048500" cy="0"/>
                      </a:xfrm>
                      <a:prstGeom prst="line"/>
                      <a:ln cmpd="sng" cap="flat" w="19050">
                        <a:solidFill>
                          <a:srgbClr val="70ad47"/>
                        </a:solidFill>
                        <a:prstDash val="solid"/>
                        <a:miter/>
                        <a:headEnd/>
                        <a:tailEnd/>
                      </a:ln>
                    </wps:spPr>
                    <wps:bodyPr>
                      <a:prstTxWarp prst="textNoShape"/>
                    </wps:bodyPr>
                  </wps:wsp>
                </a:graphicData>
              </a:graphic>
            </wp:anchor>
          </w:drawing>
        </mc:Choice>
        <mc:Fallback>
          <w:pict>
            <v:line id="4100" filled="f" stroked="t" from="-51.0pt,-16.8pt" to="504.0pt,-16.8pt" style="position:absolute;z-index:5;mso-position-horizontal-relative:text;mso-position-vertical-relative:text;mso-width-relative:page;mso-height-relative:page;mso-wrap-distance-left:0.0pt;mso-wrap-distance-right:0.0pt;visibility:visible;">
              <v:stroke joinstyle="miter" color="#70ad47" weight="1.5pt"/>
              <v:fill/>
            </v:line>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noProof/>
        <w:lang w:eastAsia="en-ZA"/>
      </w:rPr>
      <mc:AlternateContent>
        <mc:Choice Requires="wps">
          <w:drawing>
            <wp:anchor distT="45720" distB="45720" distL="114300" distR="114300" simplePos="false" relativeHeight="4" behindDoc="false" locked="false" layoutInCell="true" allowOverlap="true">
              <wp:simplePos x="0" y="0"/>
              <wp:positionH relativeFrom="column">
                <wp:posOffset>3711152</wp:posOffset>
              </wp:positionH>
              <wp:positionV relativeFrom="paragraph">
                <wp:posOffset>55245</wp:posOffset>
              </wp:positionV>
              <wp:extent cx="2752725" cy="638175"/>
              <wp:effectExtent l="0" t="0" r="0" b="0"/>
              <wp:wrapSquare wrapText="bothSides"/>
              <wp:docPr id="4097"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52725" cy="638175"/>
                      </a:xfrm>
                      <a:prstGeom prst="rect"/>
                      <a:ln>
                        <a:noFill/>
                      </a:ln>
                    </wps:spPr>
                    <wps:txbx id="4097">
                      <w:txbxContent>
                        <w:p>
                          <w:pPr>
                            <w:pStyle w:val="style0"/>
                            <w:spacing w:after="40" w:lineRule="auto" w:line="240"/>
                            <w:jc w:val="right"/>
                            <w:rPr>
                              <w:rFonts w:ascii="Arial" w:cs="Arial" w:hAnsi="Arial"/>
                              <w:b/>
                              <w:sz w:val="20"/>
                            </w:rPr>
                          </w:pPr>
                          <w:r>
                            <w:rPr>
                              <w:rFonts w:ascii="Arial" w:cs="Arial" w:hAnsi="Arial"/>
                              <w:b/>
                              <w:sz w:val="20"/>
                            </w:rPr>
                            <w:t xml:space="preserve">REG NO: </w:t>
                          </w:r>
                          <w:r>
                            <w:rPr>
                              <w:rFonts w:ascii="Arial" w:cs="Arial" w:hAnsi="Arial"/>
                              <w:sz w:val="20"/>
                            </w:rPr>
                            <w:t>2023</w:t>
                          </w:r>
                          <w:r>
                            <w:rPr>
                              <w:rFonts w:ascii="Arial" w:cs="Arial" w:hAnsi="Arial"/>
                              <w:sz w:val="20"/>
                            </w:rPr>
                            <w:t xml:space="preserve"> </w:t>
                          </w:r>
                          <w:r>
                            <w:rPr>
                              <w:rFonts w:ascii="Arial" w:cs="Arial" w:hAnsi="Arial"/>
                              <w:sz w:val="20"/>
                            </w:rPr>
                            <w:t>/</w:t>
                          </w:r>
                          <w:r>
                            <w:rPr>
                              <w:rFonts w:ascii="Arial" w:cs="Arial" w:hAnsi="Arial"/>
                              <w:sz w:val="20"/>
                            </w:rPr>
                            <w:t xml:space="preserve"> </w:t>
                          </w:r>
                          <w:r>
                            <w:rPr>
                              <w:rFonts w:ascii="Arial" w:cs="Arial" w:hAnsi="Arial"/>
                              <w:sz w:val="20"/>
                            </w:rPr>
                            <w:t>698802</w:t>
                          </w:r>
                          <w:r>
                            <w:rPr>
                              <w:rFonts w:ascii="Arial" w:cs="Arial" w:hAnsi="Arial"/>
                              <w:sz w:val="20"/>
                            </w:rPr>
                            <w:t xml:space="preserve"> </w:t>
                          </w:r>
                          <w:r>
                            <w:rPr>
                              <w:rFonts w:ascii="Arial" w:cs="Arial" w:hAnsi="Arial"/>
                              <w:sz w:val="20"/>
                            </w:rPr>
                            <w:t>/</w:t>
                          </w:r>
                          <w:r>
                            <w:rPr>
                              <w:rFonts w:ascii="Arial" w:cs="Arial" w:hAnsi="Arial"/>
                              <w:sz w:val="20"/>
                            </w:rPr>
                            <w:t xml:space="preserve"> </w:t>
                          </w:r>
                          <w:r>
                            <w:rPr>
                              <w:rFonts w:ascii="Arial" w:cs="Arial" w:hAnsi="Arial"/>
                              <w:sz w:val="20"/>
                            </w:rPr>
                            <w:t>07</w:t>
                          </w:r>
                        </w:p>
                        <w:p>
                          <w:pPr>
                            <w:pStyle w:val="style0"/>
                            <w:spacing w:after="40" w:lineRule="auto" w:line="240"/>
                            <w:jc w:val="right"/>
                            <w:rPr>
                              <w:rFonts w:ascii="Arial" w:cs="Arial" w:hAnsi="Arial"/>
                              <w:b/>
                              <w:sz w:val="20"/>
                            </w:rPr>
                          </w:pPr>
                          <w:r>
                            <w:rPr>
                              <w:rFonts w:ascii="Arial" w:cs="Arial" w:hAnsi="Arial"/>
                              <w:b/>
                              <w:sz w:val="20"/>
                            </w:rPr>
                            <w:t>CONTACT: +</w:t>
                          </w:r>
                          <w:r>
                            <w:rPr>
                              <w:rFonts w:ascii="Arial" w:cs="Arial" w:hAnsi="Arial"/>
                              <w:sz w:val="20"/>
                            </w:rPr>
                            <w:t>27 6</w:t>
                          </w:r>
                          <w:r>
                            <w:rPr>
                              <w:rFonts w:ascii="Arial" w:cs="Arial" w:hAnsi="Arial"/>
                              <w:sz w:val="20"/>
                            </w:rPr>
                            <w:t>9 439 9596</w:t>
                          </w:r>
                        </w:p>
                        <w:p>
                          <w:pPr>
                            <w:pStyle w:val="style0"/>
                            <w:spacing w:after="40" w:lineRule="auto" w:line="240"/>
                            <w:jc w:val="right"/>
                            <w:rPr>
                              <w:rFonts w:ascii="Arial" w:cs="Arial" w:hAnsi="Arial"/>
                              <w:sz w:val="20"/>
                            </w:rPr>
                          </w:pPr>
                          <w:r>
                            <w:rPr>
                              <w:rFonts w:ascii="Arial" w:cs="Arial" w:hAnsi="Arial"/>
                              <w:b/>
                              <w:sz w:val="20"/>
                            </w:rPr>
                            <w:t xml:space="preserve">MAIL: </w:t>
                          </w:r>
                          <w:r>
                            <w:rPr>
                              <w:rFonts w:ascii="Arial" w:cs="Arial" w:hAnsi="Arial"/>
                              <w:sz w:val="20"/>
                            </w:rPr>
                            <w:t>khensanim@zariarecords.co.za</w:t>
                          </w:r>
                        </w:p>
                        <w:p>
                          <w:pPr>
                            <w:pStyle w:val="style0"/>
                            <w:spacing w:after="40" w:lineRule="auto" w:line="240"/>
                            <w:jc w:val="right"/>
                            <w:rPr>
                              <w:rFonts w:ascii="Arial" w:cs="Arial" w:hAnsi="Arial"/>
                              <w:b/>
                              <w:sz w:val="20"/>
                            </w:rPr>
                          </w:pPr>
                        </w:p>
                        <w:p>
                          <w:pPr>
                            <w:pStyle w:val="style0"/>
                            <w:spacing w:after="40" w:lineRule="auto" w:line="240"/>
                            <w:jc w:val="right"/>
                            <w:rPr>
                              <w:rFonts w:ascii="Arial" w:cs="Arial" w:hAnsi="Arial"/>
                              <w:b/>
                              <w:sz w:val="20"/>
                            </w:rPr>
                          </w:pPr>
                        </w:p>
                      </w:txbxContent>
                    </wps:txbx>
                    <wps:bodyPr lIns="91440" rIns="91440" tIns="45720" bIns="45720" vert="horz" anchor="t"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4097" filled="f" stroked="f" style="position:absolute;margin-left:292.22pt;margin-top:4.35pt;width:216.75pt;height:50.25pt;z-index:4;mso-position-horizontal-relative:text;mso-position-vertical-relative:text;mso-width-percent:0;mso-height-percent:0;mso-width-relative:margin;mso-height-relative:margin;mso-wrap-distance-top:3.6000001pt;mso-wrap-distance-bottom:3.6000001pt;visibility:visible;">
              <v:stroke on="f" joinstyle="miter"/>
              <w10:wrap type="square"/>
              <v:fill/>
              <v:textbox inset="7.2pt,3.6pt,7.2pt,3.6pt">
                <w:txbxContent>
                  <w:p>
                    <w:pPr>
                      <w:pStyle w:val="style0"/>
                      <w:spacing w:after="40" w:lineRule="auto" w:line="240"/>
                      <w:jc w:val="right"/>
                      <w:rPr>
                        <w:rFonts w:ascii="Arial" w:cs="Arial" w:hAnsi="Arial"/>
                        <w:b/>
                        <w:sz w:val="20"/>
                      </w:rPr>
                    </w:pPr>
                    <w:r>
                      <w:rPr>
                        <w:rFonts w:ascii="Arial" w:cs="Arial" w:hAnsi="Arial"/>
                        <w:b/>
                        <w:sz w:val="20"/>
                      </w:rPr>
                      <w:t xml:space="preserve">REG NO: </w:t>
                    </w:r>
                    <w:r>
                      <w:rPr>
                        <w:rFonts w:ascii="Arial" w:cs="Arial" w:hAnsi="Arial"/>
                        <w:sz w:val="20"/>
                      </w:rPr>
                      <w:t>2023</w:t>
                    </w:r>
                    <w:r>
                      <w:rPr>
                        <w:rFonts w:ascii="Arial" w:cs="Arial" w:hAnsi="Arial"/>
                        <w:sz w:val="20"/>
                      </w:rPr>
                      <w:t xml:space="preserve"> </w:t>
                    </w:r>
                    <w:r>
                      <w:rPr>
                        <w:rFonts w:ascii="Arial" w:cs="Arial" w:hAnsi="Arial"/>
                        <w:sz w:val="20"/>
                      </w:rPr>
                      <w:t>/</w:t>
                    </w:r>
                    <w:r>
                      <w:rPr>
                        <w:rFonts w:ascii="Arial" w:cs="Arial" w:hAnsi="Arial"/>
                        <w:sz w:val="20"/>
                      </w:rPr>
                      <w:t xml:space="preserve"> </w:t>
                    </w:r>
                    <w:r>
                      <w:rPr>
                        <w:rFonts w:ascii="Arial" w:cs="Arial" w:hAnsi="Arial"/>
                        <w:sz w:val="20"/>
                      </w:rPr>
                      <w:t>698802</w:t>
                    </w:r>
                    <w:r>
                      <w:rPr>
                        <w:rFonts w:ascii="Arial" w:cs="Arial" w:hAnsi="Arial"/>
                        <w:sz w:val="20"/>
                      </w:rPr>
                      <w:t xml:space="preserve"> </w:t>
                    </w:r>
                    <w:r>
                      <w:rPr>
                        <w:rFonts w:ascii="Arial" w:cs="Arial" w:hAnsi="Arial"/>
                        <w:sz w:val="20"/>
                      </w:rPr>
                      <w:t>/</w:t>
                    </w:r>
                    <w:r>
                      <w:rPr>
                        <w:rFonts w:ascii="Arial" w:cs="Arial" w:hAnsi="Arial"/>
                        <w:sz w:val="20"/>
                      </w:rPr>
                      <w:t xml:space="preserve"> </w:t>
                    </w:r>
                    <w:r>
                      <w:rPr>
                        <w:rFonts w:ascii="Arial" w:cs="Arial" w:hAnsi="Arial"/>
                        <w:sz w:val="20"/>
                      </w:rPr>
                      <w:t>07</w:t>
                    </w:r>
                  </w:p>
                  <w:p>
                    <w:pPr>
                      <w:pStyle w:val="style0"/>
                      <w:spacing w:after="40" w:lineRule="auto" w:line="240"/>
                      <w:jc w:val="right"/>
                      <w:rPr>
                        <w:rFonts w:ascii="Arial" w:cs="Arial" w:hAnsi="Arial"/>
                        <w:b/>
                        <w:sz w:val="20"/>
                      </w:rPr>
                    </w:pPr>
                    <w:r>
                      <w:rPr>
                        <w:rFonts w:ascii="Arial" w:cs="Arial" w:hAnsi="Arial"/>
                        <w:b/>
                        <w:sz w:val="20"/>
                      </w:rPr>
                      <w:t>CONTACT: +</w:t>
                    </w:r>
                    <w:r>
                      <w:rPr>
                        <w:rFonts w:ascii="Arial" w:cs="Arial" w:hAnsi="Arial"/>
                        <w:sz w:val="20"/>
                      </w:rPr>
                      <w:t>27 6</w:t>
                    </w:r>
                    <w:r>
                      <w:rPr>
                        <w:rFonts w:ascii="Arial" w:cs="Arial" w:hAnsi="Arial"/>
                        <w:sz w:val="20"/>
                      </w:rPr>
                      <w:t>9 439 9596</w:t>
                    </w:r>
                  </w:p>
                  <w:p>
                    <w:pPr>
                      <w:pStyle w:val="style0"/>
                      <w:spacing w:after="40" w:lineRule="auto" w:line="240"/>
                      <w:jc w:val="right"/>
                      <w:rPr>
                        <w:rFonts w:ascii="Arial" w:cs="Arial" w:hAnsi="Arial"/>
                        <w:sz w:val="20"/>
                      </w:rPr>
                    </w:pPr>
                    <w:r>
                      <w:rPr>
                        <w:rFonts w:ascii="Arial" w:cs="Arial" w:hAnsi="Arial"/>
                        <w:b/>
                        <w:sz w:val="20"/>
                      </w:rPr>
                      <w:t xml:space="preserve">MAIL: </w:t>
                    </w:r>
                    <w:r>
                      <w:rPr>
                        <w:rFonts w:ascii="Arial" w:cs="Arial" w:hAnsi="Arial"/>
                        <w:sz w:val="20"/>
                      </w:rPr>
                      <w:t>khensanim@zariarecords.co.za</w:t>
                    </w:r>
                  </w:p>
                  <w:p>
                    <w:pPr>
                      <w:pStyle w:val="style0"/>
                      <w:spacing w:after="40" w:lineRule="auto" w:line="240"/>
                      <w:jc w:val="right"/>
                      <w:rPr>
                        <w:rFonts w:ascii="Arial" w:cs="Arial" w:hAnsi="Arial"/>
                        <w:b/>
                        <w:sz w:val="20"/>
                      </w:rPr>
                    </w:pPr>
                  </w:p>
                  <w:p>
                    <w:pPr>
                      <w:pStyle w:val="style0"/>
                      <w:spacing w:after="40" w:lineRule="auto" w:line="240"/>
                      <w:jc w:val="right"/>
                      <w:rPr>
                        <w:rFonts w:ascii="Arial" w:cs="Arial" w:hAnsi="Arial"/>
                        <w:b/>
                        <w:sz w:val="20"/>
                      </w:rPr>
                    </w:pPr>
                  </w:p>
                </w:txbxContent>
              </v:textbox>
            </v:rect>
          </w:pict>
        </mc:Fallback>
      </mc:AlternateContent>
    </w:r>
    <w:r>
      <w:rPr>
        <w:noProof/>
        <w:lang w:eastAsia="en-ZA"/>
      </w:rPr>
      <w:drawing>
        <wp:anchor distT="0" distB="0" distL="0" distR="0" simplePos="false" relativeHeight="2" behindDoc="false" locked="false" layoutInCell="true" allowOverlap="true">
          <wp:simplePos x="0" y="0"/>
          <wp:positionH relativeFrom="margin">
            <wp:posOffset>-753745</wp:posOffset>
          </wp:positionH>
          <wp:positionV relativeFrom="page">
            <wp:posOffset>457200</wp:posOffset>
          </wp:positionV>
          <wp:extent cx="1571625" cy="612139"/>
          <wp:effectExtent l="0" t="0" r="9525" b="0"/>
          <wp:wrapNone/>
          <wp:docPr id="409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l="0" t="0" r="0" b="0"/>
                  <a:stretch/>
                </pic:blipFill>
                <pic:spPr>
                  <a:xfrm rot="0">
                    <a:off x="0" y="0"/>
                    <a:ext cx="1571625" cy="612139"/>
                  </a:xfrm>
                  <a:prstGeom prst="rect"/>
                </pic:spPr>
              </pic:pic>
            </a:graphicData>
          </a:graphic>
        </wp:anchor>
      </w:drawing>
    </w:r>
  </w:p>
  <w:p>
    <w:pPr>
      <w:pStyle w:val="style31"/>
      <w:rPr/>
    </w:pPr>
  </w:p>
  <w:p>
    <w:pPr>
      <w:pStyle w:val="style31"/>
      <w:rPr/>
    </w:pPr>
  </w:p>
  <w:p>
    <w:pPr>
      <w:pStyle w:val="style31"/>
      <w:rPr/>
    </w:pPr>
    <w:r>
      <w:rPr>
        <w:noProof/>
        <w:lang w:eastAsia="en-ZA"/>
      </w:rPr>
      <mc:AlternateContent>
        <mc:Choice Requires="wps">
          <w:drawing>
            <wp:anchor distT="0" distB="0" distL="0" distR="0" simplePos="false" relativeHeight="3" behindDoc="false" locked="false" layoutInCell="true" allowOverlap="true">
              <wp:simplePos x="0" y="0"/>
              <wp:positionH relativeFrom="column">
                <wp:posOffset>-752476</wp:posOffset>
              </wp:positionH>
              <wp:positionV relativeFrom="paragraph">
                <wp:posOffset>286385</wp:posOffset>
              </wp:positionV>
              <wp:extent cx="7153275" cy="0"/>
              <wp:effectExtent l="0" t="0" r="28575" b="19050"/>
              <wp:wrapNone/>
              <wp:docPr id="4099"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153275" cy="0"/>
                      </a:xfrm>
                      <a:prstGeom prst="line"/>
                      <a:ln cmpd="sng" cap="flat" w="19050">
                        <a:solidFill>
                          <a:srgbClr val="70ad47"/>
                        </a:solidFill>
                        <a:prstDash val="solid"/>
                        <a:miter/>
                        <a:headEnd/>
                        <a:tailEnd/>
                      </a:ln>
                    </wps:spPr>
                    <wps:bodyPr>
                      <a:prstTxWarp prst="textNoShape"/>
                    </wps:bodyPr>
                  </wps:wsp>
                </a:graphicData>
              </a:graphic>
            </wp:anchor>
          </w:drawing>
        </mc:Choice>
        <mc:Fallback>
          <w:pict>
            <v:line id="4099" filled="f" stroked="t" from="-59.25008pt,22.550001pt" to="503.9999pt,22.550001pt" style="position:absolute;z-index:3;mso-position-horizontal-relative:text;mso-position-vertical-relative:text;mso-width-relative:page;mso-height-relative:page;mso-wrap-distance-left:0.0pt;mso-wrap-distance-right:0.0pt;visibility:visible;">
              <v:stroke joinstyle="miter" color="#70ad47" weight="1.5pt"/>
              <v:fill/>
            </v:line>
          </w:pict>
        </mc:Fallback>
      </mc:AlternateConten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2D4EC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7909C5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4B2085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31A84E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4FEB89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83060C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0B421D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D64A852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F5E5F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CE9485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3858D6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4A4A6E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A7E2F70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FB929A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E2CC4FF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C89CC44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15"/>
  </w:num>
  <w:num w:numId="5">
    <w:abstractNumId w:val="5"/>
  </w:num>
  <w:num w:numId="6">
    <w:abstractNumId w:val="10"/>
  </w:num>
  <w:num w:numId="7">
    <w:abstractNumId w:val="13"/>
  </w:num>
  <w:num w:numId="8">
    <w:abstractNumId w:val="11"/>
  </w:num>
  <w:num w:numId="9">
    <w:abstractNumId w:val="8"/>
  </w:num>
  <w:num w:numId="10">
    <w:abstractNumId w:val="12"/>
  </w:num>
  <w:num w:numId="11">
    <w:abstractNumId w:val="6"/>
  </w:num>
  <w:num w:numId="12">
    <w:abstractNumId w:val="4"/>
  </w:num>
  <w:num w:numId="13">
    <w:abstractNumId w:val="0"/>
  </w:num>
  <w:num w:numId="14">
    <w:abstractNumId w:val="7"/>
  </w:num>
  <w:num w:numId="15">
    <w:abstractNumId w:val="9"/>
  </w:num>
  <w:num w:numId="16">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ZA"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3"/>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98c8fa5b-ae9a-4745-b9d9-50b27634e8df"/>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37abd0c2-f847-4dd2-b929-a62265104bbb"/>
    <w:basedOn w:val="style65"/>
    <w:next w:val="style4098"/>
    <w:link w:val="style32"/>
    <w:uiPriority w:val="99"/>
  </w:style>
  <w:style w:type="character" w:styleId="style85">
    <w:name w:val="Hyperlink"/>
    <w:basedOn w:val="style65"/>
    <w:next w:val="style85"/>
    <w:uiPriority w:val="99"/>
    <w:rPr>
      <w:color w:val="0563c1"/>
      <w:u w:val="single"/>
    </w:rPr>
  </w:style>
  <w:style w:type="character" w:customStyle="1" w:styleId="style4099">
    <w:name w:val="text-token-text-primary"/>
    <w:basedOn w:val="style65"/>
    <w:next w:val="style4099"/>
  </w:style>
  <w:style w:type="character" w:customStyle="1" w:styleId="style4100">
    <w:name w:val="Heading 3 Char_23560f4d-4141-4c64-8a5e-2c082c8257b1"/>
    <w:basedOn w:val="style65"/>
    <w:next w:val="style4100"/>
    <w:link w:val="style3"/>
    <w:uiPriority w:val="9"/>
    <w:rPr>
      <w:rFonts w:ascii="Times New Roman" w:cs="Times New Roman" w:eastAsia="Times New Roman" w:hAnsi="Times New Roman"/>
      <w:b/>
      <w:bCs/>
      <w:sz w:val="27"/>
      <w:szCs w:val="27"/>
      <w:lang w:eastAsia="en-GB"/>
    </w:rPr>
  </w:style>
  <w:style w:type="paragraph" w:customStyle="1" w:styleId="style4101">
    <w:name w:val="isselectedend"/>
    <w:basedOn w:val="style0"/>
    <w:next w:val="style4101"/>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customStyle="1" w:styleId="style4102">
    <w:name w:val="apple-converted-space"/>
    <w:basedOn w:val="style65"/>
    <w:next w:val="style4102"/>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customStyle="1" w:styleId="style4103">
    <w:name w:val="Heading 2 Char_d39451df-34a4-49d2-9613-cded399c8bb4"/>
    <w:basedOn w:val="style65"/>
    <w:next w:val="style4103"/>
    <w:link w:val="style2"/>
    <w:uiPriority w:val="9"/>
    <w:rPr>
      <w:rFonts w:ascii="Calibri Light" w:cs="宋体" w:eastAsia="宋体" w:hAnsi="Calibri Light"/>
      <w:color w:val="2e74b5"/>
      <w:sz w:val="26"/>
      <w:szCs w:val="2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468</Words>
  <Pages>2</Pages>
  <Characters>2852</Characters>
  <Application>WPS Office135616331</Application>
  <DocSecurity>0</DocSecurity>
  <Paragraphs>47</Paragraphs>
  <ScaleCrop>false</ScaleCrop>
  <Company>HP</Company>
  <LinksUpToDate>false</LinksUpToDate>
  <CharactersWithSpaces>3289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2026-03-23T13:15:16Z</dcterms:created>
  <dc:creator>Microsoft account</dc:creator>
  <lastModifiedBy>DCO-LX9</lastModifiedBy>
  <lastPrinted>2025-04-07T08:48:00Z</lastPrinted>
  <dcterms:modified xsi:type="dcterms:W3CDTF">2026-03-23T13:15:16Z</dcterms:modified>
  <revision>2</revision>
</coreProperties>
</file>

<file path=docProps/custom.xml><?xml version="1.0" encoding="utf-8"?>
<Properties xmlns="http://schemas.openxmlformats.org/officeDocument/2006/custom-properties" xmlns:vt="http://schemas.openxmlformats.org/officeDocument/2006/docPropsVTypes"/>
</file>